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74" w:rsidRDefault="00A41974" w:rsidP="00A419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Strategic Planning </w:t>
      </w:r>
      <w:r w:rsidR="002454F4">
        <w:rPr>
          <w:sz w:val="36"/>
          <w:szCs w:val="36"/>
        </w:rPr>
        <w:t>and</w:t>
      </w:r>
      <w:r>
        <w:rPr>
          <w:sz w:val="36"/>
          <w:szCs w:val="36"/>
        </w:rPr>
        <w:t xml:space="preserve"> </w:t>
      </w:r>
      <w:r w:rsidRPr="00A41974">
        <w:rPr>
          <w:sz w:val="36"/>
          <w:szCs w:val="36"/>
        </w:rPr>
        <w:t>Core Theme</w:t>
      </w:r>
      <w:r>
        <w:rPr>
          <w:sz w:val="36"/>
          <w:szCs w:val="36"/>
        </w:rPr>
        <w:t>s:</w:t>
      </w:r>
    </w:p>
    <w:p w:rsidR="00A26248" w:rsidRDefault="00A41974" w:rsidP="00A41974">
      <w:pPr>
        <w:jc w:val="center"/>
        <w:rPr>
          <w:sz w:val="36"/>
          <w:szCs w:val="36"/>
        </w:rPr>
      </w:pPr>
      <w:r w:rsidRPr="00A41974">
        <w:rPr>
          <w:sz w:val="36"/>
          <w:szCs w:val="36"/>
        </w:rPr>
        <w:t>Supporting Activity Status Report</w:t>
      </w:r>
      <w:r>
        <w:rPr>
          <w:sz w:val="36"/>
          <w:szCs w:val="36"/>
        </w:rPr>
        <w:t xml:space="preserve"> 2014-15</w:t>
      </w:r>
    </w:p>
    <w:p w:rsidR="00A41974" w:rsidRDefault="00A41974" w:rsidP="00A41974">
      <w:pPr>
        <w:rPr>
          <w:sz w:val="24"/>
          <w:szCs w:val="24"/>
        </w:rPr>
      </w:pP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Please provide a brief summary on pro</w:t>
      </w:r>
      <w:r w:rsidR="0085160E">
        <w:rPr>
          <w:sz w:val="24"/>
          <w:szCs w:val="24"/>
        </w:rPr>
        <w:t>gress to date</w:t>
      </w:r>
      <w:r>
        <w:rPr>
          <w:sz w:val="24"/>
          <w:szCs w:val="24"/>
        </w:rPr>
        <w:t xml:space="preserve"> </w:t>
      </w:r>
      <w:r w:rsidR="006E71E9">
        <w:rPr>
          <w:sz w:val="24"/>
          <w:szCs w:val="24"/>
        </w:rPr>
        <w:t xml:space="preserve">through summer, 2015, </w:t>
      </w:r>
      <w:r>
        <w:rPr>
          <w:sz w:val="24"/>
          <w:szCs w:val="24"/>
        </w:rPr>
        <w:t>and include any supporting data.</w:t>
      </w:r>
      <w:r w:rsidR="00B17489">
        <w:rPr>
          <w:sz w:val="24"/>
          <w:szCs w:val="24"/>
        </w:rPr>
        <w:t xml:space="preserve"> Please have all status reports returned to Cathy Fulkerson by January 15, with copy to Brandis </w:t>
      </w:r>
      <w:proofErr w:type="spellStart"/>
      <w:r w:rsidR="00B17489">
        <w:rPr>
          <w:sz w:val="24"/>
          <w:szCs w:val="24"/>
        </w:rPr>
        <w:t>Senecal</w:t>
      </w:r>
      <w:proofErr w:type="spellEnd"/>
      <w:r w:rsidR="00B17489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2340"/>
        <w:gridCol w:w="2605"/>
      </w:tblGrid>
      <w:tr w:rsidR="002454F4" w:rsidTr="002454F4">
        <w:tc>
          <w:tcPr>
            <w:tcW w:w="2155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Theme No.</w:t>
            </w:r>
          </w:p>
        </w:tc>
        <w:tc>
          <w:tcPr>
            <w:tcW w:w="2250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No.</w:t>
            </w:r>
          </w:p>
        </w:tc>
        <w:tc>
          <w:tcPr>
            <w:tcW w:w="2340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 No.</w:t>
            </w:r>
          </w:p>
        </w:tc>
        <w:tc>
          <w:tcPr>
            <w:tcW w:w="2605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Activity No.</w:t>
            </w:r>
          </w:p>
        </w:tc>
      </w:tr>
      <w:tr w:rsidR="002454F4" w:rsidTr="002454F4">
        <w:tc>
          <w:tcPr>
            <w:tcW w:w="2155" w:type="dxa"/>
          </w:tcPr>
          <w:p w:rsidR="002454F4" w:rsidRDefault="005E7E65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Three, Serve Rural Nevada</w:t>
            </w:r>
          </w:p>
        </w:tc>
        <w:tc>
          <w:tcPr>
            <w:tcW w:w="2250" w:type="dxa"/>
          </w:tcPr>
          <w:p w:rsidR="002454F4" w:rsidRDefault="005E7E65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 Provide resources to meet needs of service area</w:t>
            </w:r>
          </w:p>
        </w:tc>
        <w:tc>
          <w:tcPr>
            <w:tcW w:w="2340" w:type="dxa"/>
          </w:tcPr>
          <w:p w:rsidR="002454F4" w:rsidRDefault="005E7E65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Number of programs available at each center</w:t>
            </w:r>
          </w:p>
        </w:tc>
        <w:tc>
          <w:tcPr>
            <w:tcW w:w="2605" w:type="dxa"/>
          </w:tcPr>
          <w:p w:rsidR="002454F4" w:rsidRDefault="005E7E65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73826">
              <w:rPr>
                <w:sz w:val="24"/>
                <w:szCs w:val="24"/>
              </w:rPr>
              <w:t>. Seek funding to develop facilities in Pahrump for offering workforce development programs.</w:t>
            </w:r>
          </w:p>
        </w:tc>
      </w:tr>
    </w:tbl>
    <w:p w:rsidR="002454F4" w:rsidRDefault="002454F4" w:rsidP="00A41974">
      <w:pPr>
        <w:rPr>
          <w:sz w:val="24"/>
          <w:szCs w:val="24"/>
        </w:rPr>
      </w:pP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Primary Assignee:</w:t>
      </w:r>
      <w:r w:rsidR="005D2182">
        <w:rPr>
          <w:sz w:val="24"/>
          <w:szCs w:val="24"/>
        </w:rPr>
        <w:t xml:space="preserve">   President</w:t>
      </w:r>
    </w:p>
    <w:p w:rsidR="002454F4" w:rsidRDefault="002454F4" w:rsidP="00A41974">
      <w:pPr>
        <w:rPr>
          <w:sz w:val="24"/>
          <w:szCs w:val="24"/>
        </w:rPr>
      </w:pPr>
      <w:r>
        <w:rPr>
          <w:sz w:val="24"/>
          <w:szCs w:val="24"/>
        </w:rPr>
        <w:t>Other Assignees:</w:t>
      </w:r>
      <w:r w:rsidR="00E31B91">
        <w:rPr>
          <w:sz w:val="24"/>
          <w:szCs w:val="24"/>
        </w:rPr>
        <w:t xml:space="preserve"> </w:t>
      </w:r>
      <w:r w:rsidR="00973826">
        <w:rPr>
          <w:sz w:val="24"/>
          <w:szCs w:val="24"/>
        </w:rPr>
        <w:t xml:space="preserve"> Foundation Director</w:t>
      </w: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Summary:</w:t>
      </w:r>
    </w:p>
    <w:p w:rsidR="00F02286" w:rsidRDefault="00F02286" w:rsidP="00F02286">
      <w:pPr>
        <w:rPr>
          <w:sz w:val="24"/>
          <w:szCs w:val="24"/>
        </w:rPr>
      </w:pPr>
      <w:r>
        <w:rPr>
          <w:sz w:val="24"/>
          <w:szCs w:val="24"/>
        </w:rPr>
        <w:t xml:space="preserve">Given the acquisition of the land necessary to build a new campus in Pahrump, the GBC Foundation has added a new trustee, Gregory </w:t>
      </w:r>
      <w:proofErr w:type="spellStart"/>
      <w:r>
        <w:rPr>
          <w:sz w:val="24"/>
          <w:szCs w:val="24"/>
        </w:rPr>
        <w:t>Hafen</w:t>
      </w:r>
      <w:proofErr w:type="spellEnd"/>
      <w:r>
        <w:rPr>
          <w:sz w:val="24"/>
          <w:szCs w:val="24"/>
        </w:rPr>
        <w:t>, and set up a specific Pahrump account in anticipation of a capital campaign there.</w:t>
      </w:r>
    </w:p>
    <w:p w:rsidR="00F02286" w:rsidRDefault="00F02286" w:rsidP="00F02286">
      <w:pPr>
        <w:rPr>
          <w:sz w:val="24"/>
          <w:szCs w:val="24"/>
        </w:rPr>
      </w:pPr>
      <w:r>
        <w:rPr>
          <w:sz w:val="24"/>
          <w:szCs w:val="24"/>
        </w:rPr>
        <w:t>With the help of the TAACCCT IV grant awarded to a consortium of Nevada community college and grants from the Pennington Foundation, GBC was able to establish a branch of GBC’s very successful Nursing Program.</w:t>
      </w:r>
    </w:p>
    <w:p w:rsidR="00F02286" w:rsidRDefault="00F02286" w:rsidP="00A41974">
      <w:pPr>
        <w:rPr>
          <w:sz w:val="24"/>
          <w:szCs w:val="24"/>
        </w:rPr>
      </w:pPr>
      <w:bookmarkStart w:id="0" w:name="_GoBack"/>
      <w:bookmarkEnd w:id="0"/>
    </w:p>
    <w:p w:rsidR="002454F4" w:rsidRDefault="002454F4" w:rsidP="00A41974">
      <w:pPr>
        <w:rPr>
          <w:sz w:val="24"/>
          <w:szCs w:val="24"/>
        </w:rPr>
      </w:pPr>
    </w:p>
    <w:p w:rsidR="002454F4" w:rsidRPr="00A41974" w:rsidRDefault="002454F4" w:rsidP="00A41974">
      <w:pPr>
        <w:rPr>
          <w:sz w:val="24"/>
          <w:szCs w:val="24"/>
        </w:rPr>
      </w:pPr>
    </w:p>
    <w:sectPr w:rsidR="002454F4" w:rsidRPr="00A4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2454F4"/>
    <w:rsid w:val="003F37B3"/>
    <w:rsid w:val="00491605"/>
    <w:rsid w:val="004A76C3"/>
    <w:rsid w:val="005D2182"/>
    <w:rsid w:val="005E7E65"/>
    <w:rsid w:val="00675EC3"/>
    <w:rsid w:val="006E71E9"/>
    <w:rsid w:val="0085160E"/>
    <w:rsid w:val="008757C5"/>
    <w:rsid w:val="00973826"/>
    <w:rsid w:val="00A26248"/>
    <w:rsid w:val="00A41974"/>
    <w:rsid w:val="00B17489"/>
    <w:rsid w:val="00D62E4E"/>
    <w:rsid w:val="00E27B60"/>
    <w:rsid w:val="00E31B91"/>
    <w:rsid w:val="00F0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9FA2F-F39A-4816-B765-1A74032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Fulkerson, Ann C</dc:creator>
  <cp:keywords/>
  <dc:description/>
  <cp:lastModifiedBy>Great Basin College</cp:lastModifiedBy>
  <cp:revision>3</cp:revision>
  <dcterms:created xsi:type="dcterms:W3CDTF">2015-12-10T18:26:00Z</dcterms:created>
  <dcterms:modified xsi:type="dcterms:W3CDTF">2015-12-11T23:50:00Z</dcterms:modified>
</cp:coreProperties>
</file>