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707E4D4E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6E7A10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428071E1" w14:textId="22BD0CC1" w:rsidR="00F10AA1" w:rsidRPr="00F10AA1" w:rsidRDefault="00D44BF6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March </w:t>
      </w:r>
      <w:r w:rsidR="003B6559">
        <w:rPr>
          <w:rFonts w:ascii="Times New Roman" w:eastAsia="Times New Roman" w:hAnsi="Times New Roman"/>
          <w:color w:val="222222"/>
          <w:sz w:val="24"/>
          <w:szCs w:val="24"/>
        </w:rPr>
        <w:t>31</w:t>
      </w:r>
      <w:r w:rsidR="002F3BD4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DA10A3">
        <w:rPr>
          <w:rFonts w:ascii="Times New Roman" w:eastAsia="Times New Roman" w:hAnsi="Times New Roman"/>
          <w:color w:val="222222"/>
          <w:sz w:val="24"/>
          <w:szCs w:val="24"/>
        </w:rPr>
        <w:t xml:space="preserve">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  <w:r w:rsidR="00B95BBE">
        <w:rPr>
          <w:rFonts w:ascii="Times New Roman" w:eastAsia="Times New Roman" w:hAnsi="Times New Roman"/>
          <w:color w:val="222222"/>
          <w:sz w:val="24"/>
          <w:szCs w:val="24"/>
        </w:rPr>
        <w:t xml:space="preserve"> via </w:t>
      </w:r>
      <w:r w:rsidR="00000E5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D65C1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0D8F28F5" w:rsidR="006D65C1" w:rsidRDefault="00A03049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1EDF110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4E807C88" w:rsidR="006D65C1" w:rsidRDefault="00A03049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2DC589A9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4823049D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16461E9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32364825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0E3EDB02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0274CB10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EFB571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677A8C01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C64A19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559ED7FD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71BA6E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6359F706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B96CFE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49D0E113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3E2D4A1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0D669A44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3B1B7EA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6D57706A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54D34797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3438EA8F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3E9694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C62CD95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068B5136" w:rsidR="006D65C1" w:rsidRDefault="00A03049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CFEBC7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Hrdlicka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77B2CA8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47B968D1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  <w:r w:rsidR="00543A65">
        <w:rPr>
          <w:rFonts w:ascii="Times New Roman" w:hAnsi="Times New Roman" w:cs="Times New Roman"/>
          <w:sz w:val="24"/>
          <w:szCs w:val="24"/>
        </w:rPr>
        <w:t>Jaime Wilkerson</w:t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0C5A776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A03049">
        <w:rPr>
          <w:rFonts w:asciiTheme="minorHAnsi" w:eastAsia="Times New Roman" w:hAnsiTheme="minorHAnsi" w:cstheme="minorHAnsi"/>
          <w:color w:val="222222"/>
          <w:sz w:val="24"/>
          <w:szCs w:val="24"/>
        </w:rPr>
        <w:t>– meeting called to order at 3:47 pm</w:t>
      </w:r>
    </w:p>
    <w:p w14:paraId="37E5A4BD" w14:textId="2ED096EA" w:rsidR="00DA10A3" w:rsidRPr="003B6559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3B6559" w:rsidRPr="003B6559">
        <w:rPr>
          <w:rFonts w:eastAsia="Times New Roman" w:cs="Calibri"/>
          <w:color w:val="222222"/>
          <w:sz w:val="24"/>
          <w:szCs w:val="24"/>
        </w:rPr>
        <w:t>3-10-</w:t>
      </w:r>
      <w:r w:rsidR="002F3BD4" w:rsidRPr="003B6559">
        <w:rPr>
          <w:rFonts w:eastAsia="Times New Roman" w:cs="Calibri"/>
          <w:color w:val="222222"/>
          <w:sz w:val="24"/>
          <w:szCs w:val="24"/>
        </w:rPr>
        <w:t>2022</w:t>
      </w:r>
      <w:r w:rsidR="001935FC" w:rsidRPr="003B6559">
        <w:rPr>
          <w:rFonts w:eastAsia="Times New Roman" w:cs="Calibri"/>
          <w:color w:val="222222"/>
          <w:sz w:val="24"/>
          <w:szCs w:val="24"/>
        </w:rPr>
        <w:t>.</w:t>
      </w:r>
      <w:r w:rsidR="00E4723F" w:rsidRPr="003B6559">
        <w:rPr>
          <w:rFonts w:eastAsia="Times New Roman" w:cs="Calibri"/>
          <w:color w:val="222222"/>
          <w:sz w:val="24"/>
          <w:szCs w:val="24"/>
        </w:rPr>
        <w:t xml:space="preserve"> </w:t>
      </w:r>
      <w:r w:rsidR="00543A65" w:rsidRPr="003B6559">
        <w:rPr>
          <w:rFonts w:eastAsia="Times New Roman" w:cs="Calibri"/>
          <w:color w:val="222222"/>
          <w:sz w:val="24"/>
          <w:szCs w:val="24"/>
        </w:rPr>
        <w:t xml:space="preserve"> </w:t>
      </w:r>
      <w:r w:rsidR="00A03049">
        <w:rPr>
          <w:rFonts w:eastAsia="Times New Roman" w:cs="Calibri"/>
          <w:color w:val="222222"/>
          <w:sz w:val="24"/>
          <w:szCs w:val="24"/>
        </w:rPr>
        <w:t>Moved by David, seconded by Brian, minutes were approved as read.</w:t>
      </w:r>
    </w:p>
    <w:p w14:paraId="7092A390" w14:textId="1735FD03" w:rsidR="00A03049" w:rsidRPr="00A03049" w:rsidRDefault="00D92AB3" w:rsidP="00A0304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  <w:r w:rsidR="00A0304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the committee agreed to vote on the course changes as a group.</w:t>
      </w:r>
    </w:p>
    <w:p w14:paraId="4074C290" w14:textId="6B682765" w:rsidR="00E459DD" w:rsidRDefault="007B2603" w:rsidP="0069048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EMS2</w:t>
      </w:r>
      <w:r w:rsidR="003B6559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00</w:t>
      </w:r>
      <w:r w:rsidR="00543A65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A03049">
        <w:rPr>
          <w:rFonts w:asciiTheme="minorHAnsi" w:eastAsia="Times New Roman" w:hAnsiTheme="minorHAnsi" w:cstheme="minorHAnsi"/>
          <w:color w:val="222222"/>
          <w:sz w:val="24"/>
          <w:szCs w:val="24"/>
        </w:rPr>
        <w:t>Jamie explained the changes.  Questions were asked and answered.  It was agreed to remove the department consent required checkboxes.</w:t>
      </w:r>
    </w:p>
    <w:p w14:paraId="3FB91B50" w14:textId="0012084C" w:rsidR="003B6559" w:rsidRDefault="003B6559" w:rsidP="0069048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EMS211</w:t>
      </w:r>
      <w:r w:rsidR="00A0304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Jamie explained the changes, questions were asked and answered.  It was agreed to remove the </w:t>
      </w:r>
      <w:r w:rsidR="00A03049">
        <w:rPr>
          <w:rFonts w:asciiTheme="minorHAnsi" w:eastAsia="Times New Roman" w:hAnsiTheme="minorHAnsi" w:cstheme="minorHAnsi"/>
          <w:color w:val="222222"/>
          <w:sz w:val="24"/>
          <w:szCs w:val="24"/>
        </w:rPr>
        <w:t>department consent required checkboxes</w:t>
      </w:r>
      <w:r w:rsidR="00A0304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and to correct the change from fixed credits of 3 to variable credits of 2-4.</w:t>
      </w:r>
    </w:p>
    <w:p w14:paraId="4ED50E25" w14:textId="37A73B80" w:rsidR="00A03049" w:rsidRPr="00A03049" w:rsidRDefault="00A03049" w:rsidP="00A0304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It was moved by Dan and seconded by Brian to recommend the course changes for EMS200 and EMS 211 pending correction.  Motion carried.</w:t>
      </w:r>
    </w:p>
    <w:p w14:paraId="097E5D6B" w14:textId="77777777" w:rsidR="003B6559" w:rsidRPr="003B6559" w:rsidRDefault="003B6559" w:rsidP="003B655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54139FB" w14:textId="3045B1BF" w:rsidR="003B6559" w:rsidRDefault="003B6559" w:rsidP="00A15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Programs</w:t>
      </w:r>
      <w:r w:rsidR="00A0304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-Dorothy abstained from voting as she was the creator of the forms,</w:t>
      </w:r>
    </w:p>
    <w:p w14:paraId="6032E6AE" w14:textId="393DC55A" w:rsidR="00A03049" w:rsidRDefault="00A03049" w:rsidP="00A0304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Medical Assistant/Phlebotomy/EKG Certificate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Program was explained, questions asked and answered.  It was moved by Malia and seconded by 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>Dan to recommend the new program to move forward pending confirmation of the implementation date (Spring 2023 vs Fall 2024).  Motion carried.</w:t>
      </w:r>
    </w:p>
    <w:p w14:paraId="52A90E50" w14:textId="1E075E4B" w:rsidR="003B6559" w:rsidRPr="00B95BBE" w:rsidRDefault="003B6559" w:rsidP="00B95BB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EMS Paramedic Certificate</w:t>
      </w:r>
      <w:r w:rsidR="00B95BBE" w:rsidRP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- 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Program was explained, questions asked and answered.  It was moved by 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>Staci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and seconded by 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>Malia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to recommend the new program to move forward pending confirmation of the implementation date (Spring 2023 vs Fall 2024).  Motion carried.</w:t>
      </w:r>
    </w:p>
    <w:p w14:paraId="76A981EF" w14:textId="5E36BAF0" w:rsidR="00A03049" w:rsidRPr="00B95BBE" w:rsidRDefault="00A03049" w:rsidP="00B95BB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RT AAS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</w:t>
      </w:r>
      <w:r w:rsidR="00B95BBE" w:rsidRP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Program was explained, questions asked and answered.  It was moved by 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>Malia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and seconded by 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>Brian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to recommend the new program to move forward pending confirmation of the implementation date (Spring 2023 vs Fall 2024).  Motion carried.</w:t>
      </w:r>
    </w:p>
    <w:p w14:paraId="21BF3C62" w14:textId="77777777" w:rsidR="003B6559" w:rsidRDefault="003B6559" w:rsidP="003B6559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73D36DF0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 It was moved by Brian and seconded by Laura to </w:t>
      </w:r>
      <w:r w:rsidR="00CB6E7C">
        <w:rPr>
          <w:rFonts w:asciiTheme="minorHAnsi" w:eastAsia="Times New Roman" w:hAnsiTheme="minorHAnsi" w:cstheme="minorHAnsi"/>
          <w:color w:val="222222"/>
          <w:sz w:val="24"/>
          <w:szCs w:val="24"/>
        </w:rPr>
        <w:t>adjourn</w:t>
      </w:r>
      <w:r w:rsidR="00B95BB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the meeting at 4:18 pm.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6559"/>
    <w:rsid w:val="003C1FC4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E7A10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049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95BB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B6E7C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437E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5</cp:revision>
  <cp:lastPrinted>2019-11-20T21:59:00Z</cp:lastPrinted>
  <dcterms:created xsi:type="dcterms:W3CDTF">2022-03-31T21:08:00Z</dcterms:created>
  <dcterms:modified xsi:type="dcterms:W3CDTF">2022-04-01T00:18:00Z</dcterms:modified>
</cp:coreProperties>
</file>